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bookmarkStart w:id="29" w:name="_GoBack"/>
      <w:bookmarkEnd w:id="29"/>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 </w:t>
      </w:r>
      <w:r>
        <w:rPr>
          <w:rFonts w:hint="default" w:ascii="Times New Roman" w:hAnsi="Times New Roman" w:eastAsia="仿宋_GB2312" w:cs="Times New Roman"/>
          <w:b w:val="0"/>
          <w:bCs w:val="0"/>
          <w:color w:val="auto"/>
          <w:sz w:val="32"/>
          <w:szCs w:val="32"/>
          <w:highlight w:val="none"/>
          <w:lang w:val="en-US" w:eastAsia="zh-CN"/>
        </w:rPr>
        <w:t>015</w:t>
      </w:r>
      <w:r>
        <w:rPr>
          <w:rFonts w:hint="default" w:ascii="Times New Roman" w:hAnsi="Times New Roman" w:eastAsia="仿宋_GB2312" w:cs="Times New Roman"/>
          <w:b w:val="0"/>
          <w:bCs w:val="0"/>
          <w:color w:val="auto"/>
          <w:sz w:val="32"/>
          <w:szCs w:val="32"/>
          <w:highlight w:val="none"/>
        </w:rPr>
        <w:t> 号</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bookmarkStart w:id="0" w:name="bookmark3"/>
      <w:r>
        <w:rPr>
          <w:rFonts w:hint="default" w:ascii="Times New Roman" w:hAnsi="Times New Roman" w:eastAsia="仿宋_GB2312" w:cs="Times New Roman"/>
          <w:color w:val="000000"/>
          <w:spacing w:val="0"/>
          <w:w w:val="100"/>
          <w:position w:val="0"/>
          <w:sz w:val="32"/>
          <w:szCs w:val="32"/>
          <w:highlight w:val="none"/>
        </w:rPr>
        <w:t>根据《招标拍卖挂牌出让国有建设用地使用权规定》（国土资源部令第39号）和《广东省土地使用权交易市场管理规定》（广东省人民政府令第79号）的规定，经批准，我局决定以网上挂牌方式公开出让下列</w:t>
      </w:r>
      <w:r>
        <w:rPr>
          <w:rFonts w:hint="default" w:ascii="Times New Roman" w:hAnsi="Times New Roman" w:eastAsia="仿宋_GB2312" w:cs="Times New Roman"/>
          <w:color w:val="000000"/>
          <w:spacing w:val="0"/>
          <w:w w:val="100"/>
          <w:position w:val="0"/>
          <w:sz w:val="32"/>
          <w:szCs w:val="32"/>
          <w:highlight w:val="none"/>
          <w:lang w:val="en-US" w:eastAsia="zh-CN"/>
        </w:rPr>
        <w:t>两宗</w:t>
      </w:r>
      <w:r>
        <w:rPr>
          <w:rFonts w:hint="default" w:ascii="Times New Roman" w:hAnsi="Times New Roman" w:eastAsia="仿宋_GB2312" w:cs="Times New Roman"/>
          <w:color w:val="000000"/>
          <w:spacing w:val="0"/>
          <w:w w:val="100"/>
          <w:position w:val="0"/>
          <w:sz w:val="32"/>
          <w:szCs w:val="32"/>
          <w:highlight w:val="none"/>
        </w:rPr>
        <w:t>国有建设用地使用权。现将有关事项公告如下：</w:t>
      </w:r>
    </w:p>
    <w:bookmarkEnd w:id="0"/>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highlight w:val="none"/>
        </w:rPr>
      </w:pPr>
      <w:bookmarkStart w:id="1" w:name="bookmark6"/>
      <w:r>
        <w:rPr>
          <w:rFonts w:hint="default" w:ascii="Times New Roman" w:hAnsi="Times New Roman" w:eastAsia="黑体" w:cs="Times New Roman"/>
          <w:color w:val="000000"/>
          <w:spacing w:val="0"/>
          <w:w w:val="100"/>
          <w:position w:val="0"/>
          <w:sz w:val="32"/>
          <w:szCs w:val="32"/>
          <w:highlight w:val="none"/>
        </w:rPr>
        <w:t>一、网上挂牌出让地块基本情况及规划指标要求</w:t>
      </w:r>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 w:name="bookmark4"/>
      <w:r>
        <w:rPr>
          <w:rFonts w:hint="default" w:ascii="Times New Roman" w:hAnsi="Times New Roman" w:eastAsia="黑体" w:cs="Times New Roman"/>
          <w:color w:val="000000"/>
          <w:spacing w:val="0"/>
          <w:w w:val="100"/>
          <w:position w:val="0"/>
          <w:sz w:val="32"/>
          <w:szCs w:val="32"/>
          <w:highlight w:val="none"/>
        </w:rPr>
        <w:t>二</w:t>
      </w:r>
      <w:bookmarkEnd w:id="2"/>
      <w:r>
        <w:rPr>
          <w:rFonts w:hint="default" w:ascii="Times New Roman" w:hAnsi="Times New Roman" w:eastAsia="黑体" w:cs="Times New Roman"/>
          <w:color w:val="000000"/>
          <w:spacing w:val="0"/>
          <w:w w:val="100"/>
          <w:position w:val="0"/>
          <w:sz w:val="32"/>
          <w:szCs w:val="32"/>
          <w:highlight w:val="none"/>
        </w:rPr>
        <w:t>、挂牌起始价及加价幅度</w:t>
      </w:r>
      <w:bookmarkStart w:id="3" w:name="bookmark5"/>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三</w:t>
      </w:r>
      <w:bookmarkEnd w:id="3"/>
      <w:r>
        <w:rPr>
          <w:rFonts w:hint="default" w:ascii="Times New Roman" w:hAnsi="Times New Roman" w:eastAsia="黑体" w:cs="Times New Roman"/>
          <w:color w:val="000000"/>
          <w:spacing w:val="0"/>
          <w:w w:val="100"/>
          <w:position w:val="0"/>
          <w:sz w:val="32"/>
          <w:szCs w:val="32"/>
          <w:highlight w:val="none"/>
        </w:rPr>
        <w:t>、时间安排</w:t>
      </w:r>
    </w:p>
    <w:bookmarkEnd w:id="1"/>
    <w:p>
      <w:pPr>
        <w:pStyle w:val="7"/>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（一）公告时间：2022年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日至2022年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23</w:t>
      </w:r>
      <w:r>
        <w:rPr>
          <w:rFonts w:hint="default" w:ascii="Times New Roman" w:hAnsi="Times New Roman" w:eastAsia="仿宋_GB2312" w:cs="Times New Roman"/>
          <w:color w:val="000000"/>
          <w:spacing w:val="0"/>
          <w:w w:val="100"/>
          <w:position w:val="0"/>
          <w:sz w:val="32"/>
          <w:szCs w:val="32"/>
          <w:highlight w:val="none"/>
        </w:rPr>
        <w:t>日。</w:t>
      </w:r>
    </w:p>
    <w:p>
      <w:pPr>
        <w:pStyle w:val="7"/>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23</w:t>
      </w:r>
      <w:r>
        <w:rPr>
          <w:rFonts w:hint="default" w:ascii="Times New Roman" w:hAnsi="Times New Roman" w:eastAsia="仿宋_GB2312" w:cs="Times New Roman"/>
          <w:color w:val="000000"/>
          <w:spacing w:val="0"/>
          <w:w w:val="100"/>
          <w:position w:val="0"/>
          <w:sz w:val="32"/>
          <w:szCs w:val="32"/>
          <w:highlight w:val="none"/>
        </w:rPr>
        <w:t>日9时至2022年</w:t>
      </w:r>
      <w:r>
        <w:rPr>
          <w:rFonts w:hint="default"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7</w:t>
      </w:r>
      <w:r>
        <w:rPr>
          <w:rFonts w:hint="default" w:ascii="Times New Roman" w:hAnsi="Times New Roman" w:eastAsia="仿宋_GB2312" w:cs="Times New Roman"/>
          <w:color w:val="000000"/>
          <w:spacing w:val="0"/>
          <w:w w:val="100"/>
          <w:position w:val="0"/>
          <w:sz w:val="32"/>
          <w:szCs w:val="32"/>
          <w:highlight w:val="none"/>
        </w:rPr>
        <w:t>日10时。</w:t>
      </w:r>
    </w:p>
    <w:p>
      <w:pPr>
        <w:pStyle w:val="7"/>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（三）竞买保证金到账截止时间为：2022年</w:t>
      </w:r>
      <w:r>
        <w:rPr>
          <w:rFonts w:hint="default"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7</w:t>
      </w:r>
      <w:r>
        <w:rPr>
          <w:rFonts w:hint="default" w:ascii="Times New Roman" w:hAnsi="Times New Roman" w:eastAsia="仿宋_GB2312" w:cs="Times New Roman"/>
          <w:color w:val="000000"/>
          <w:spacing w:val="0"/>
          <w:w w:val="100"/>
          <w:position w:val="0"/>
          <w:sz w:val="32"/>
          <w:szCs w:val="32"/>
          <w:highlight w:val="none"/>
        </w:rPr>
        <w:t>日9时。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bookmarkStart w:id="4" w:name="bookmark9"/>
      <w:r>
        <w:rPr>
          <w:rFonts w:hint="default" w:ascii="Times New Roman" w:hAnsi="Times New Roman" w:eastAsia="黑体" w:cs="Times New Roman"/>
          <w:color w:val="000000"/>
          <w:spacing w:val="0"/>
          <w:w w:val="100"/>
          <w:position w:val="0"/>
          <w:sz w:val="32"/>
          <w:szCs w:val="32"/>
          <w:highlight w:val="none"/>
        </w:rPr>
        <w:t>四</w:t>
      </w:r>
      <w:bookmarkEnd w:id="4"/>
      <w:r>
        <w:rPr>
          <w:rFonts w:hint="default" w:ascii="Times New Roman" w:hAnsi="Times New Roman" w:eastAsia="黑体" w:cs="Times New Roman"/>
          <w:color w:val="000000"/>
          <w:spacing w:val="0"/>
          <w:w w:val="100"/>
          <w:position w:val="0"/>
          <w:sz w:val="32"/>
          <w:szCs w:val="32"/>
          <w:highlight w:val="none"/>
        </w:rPr>
        <w:t>、竞买资格及要求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中华人民共和国境内外的法人和其他组织（除法律法规另有规定外）具备本条规定条件的，均可申请参加竞买。申请人可以单独申请，也可以联合申请，竞买申请人必须同时具备下列条件:</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highlight w:val="none"/>
        </w:rPr>
      </w:pPr>
      <w:bookmarkStart w:id="5" w:name="bookmark10"/>
      <w:r>
        <w:rPr>
          <w:rFonts w:hint="default" w:ascii="Times New Roman" w:hAnsi="Times New Roman" w:eastAsia="仿宋_GB2312" w:cs="Times New Roman"/>
          <w:color w:val="000000"/>
          <w:spacing w:val="0"/>
          <w:w w:val="100"/>
          <w:position w:val="0"/>
          <w:sz w:val="32"/>
          <w:szCs w:val="32"/>
          <w:highlight w:val="none"/>
        </w:rPr>
        <w:t>（</w:t>
      </w:r>
      <w:bookmarkEnd w:id="5"/>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缴纳足额</w:t>
      </w:r>
      <w:r>
        <w:rPr>
          <w:rFonts w:hint="default" w:ascii="Times New Roman" w:hAnsi="Times New Roman" w:eastAsia="仿宋_GB2312"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6" w:name="bookmark11"/>
      <w:r>
        <w:rPr>
          <w:rFonts w:hint="default" w:ascii="Times New Roman" w:hAnsi="Times New Roman" w:eastAsia="仿宋_GB2312" w:cs="Times New Roman"/>
          <w:color w:val="000000"/>
          <w:spacing w:val="0"/>
          <w:w w:val="100"/>
          <w:position w:val="0"/>
          <w:sz w:val="32"/>
          <w:szCs w:val="32"/>
          <w:highlight w:val="none"/>
        </w:rPr>
        <w:t>（</w:t>
      </w:r>
      <w:bookmarkEnd w:id="6"/>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五</w:t>
      </w:r>
      <w:r>
        <w:rPr>
          <w:rFonts w:hint="default" w:ascii="Times New Roman" w:hAnsi="Times New Roman" w:eastAsia="黑体"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7" w:name="bookmark18"/>
      <w:r>
        <w:rPr>
          <w:rFonts w:hint="default" w:ascii="Times New Roman" w:hAnsi="Times New Roman" w:eastAsia="仿宋_GB2312" w:cs="Times New Roman"/>
          <w:color w:val="000000"/>
          <w:spacing w:val="0"/>
          <w:w w:val="100"/>
          <w:position w:val="0"/>
          <w:sz w:val="32"/>
          <w:szCs w:val="32"/>
          <w:highlight w:val="none"/>
        </w:rPr>
        <w:t>（</w:t>
      </w:r>
      <w:bookmarkEnd w:id="7"/>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本公告两宗地块</w:t>
      </w:r>
      <w:r>
        <w:rPr>
          <w:rFonts w:hint="default" w:ascii="Times New Roman" w:hAnsi="Times New Roman" w:eastAsia="仿宋_GB2312" w:cs="Times New Roman"/>
          <w:color w:val="000000"/>
          <w:spacing w:val="0"/>
          <w:w w:val="100"/>
          <w:position w:val="0"/>
          <w:sz w:val="32"/>
          <w:szCs w:val="32"/>
          <w:highlight w:val="none"/>
        </w:rPr>
        <w:t>竞买保证金</w:t>
      </w:r>
      <w:r>
        <w:rPr>
          <w:rFonts w:hint="default" w:ascii="Times New Roman" w:hAnsi="Times New Roman" w:eastAsia="仿宋_GB2312" w:cs="Times New Roman"/>
          <w:color w:val="000000"/>
          <w:spacing w:val="0"/>
          <w:w w:val="100"/>
          <w:position w:val="0"/>
          <w:sz w:val="32"/>
          <w:szCs w:val="32"/>
          <w:highlight w:val="none"/>
          <w:lang w:val="en-US" w:eastAsia="zh-CN"/>
        </w:rPr>
        <w:t>详见附表</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8" w:name="bookmark19"/>
      <w:r>
        <w:rPr>
          <w:rFonts w:hint="default" w:ascii="Times New Roman" w:hAnsi="Times New Roman" w:eastAsia="仿宋_GB2312" w:cs="Times New Roman"/>
          <w:color w:val="000000"/>
          <w:spacing w:val="0"/>
          <w:w w:val="100"/>
          <w:position w:val="0"/>
          <w:sz w:val="32"/>
          <w:szCs w:val="32"/>
          <w:highlight w:val="none"/>
        </w:rPr>
        <w:t>（</w:t>
      </w:r>
      <w:bookmarkEnd w:id="8"/>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9" w:name="bookmark20"/>
      <w:r>
        <w:rPr>
          <w:rFonts w:hint="default" w:ascii="Times New Roman" w:hAnsi="Times New Roman" w:eastAsia="仿宋_GB2312" w:cs="Times New Roman"/>
          <w:color w:val="000000"/>
          <w:spacing w:val="0"/>
          <w:w w:val="100"/>
          <w:position w:val="0"/>
          <w:sz w:val="32"/>
          <w:szCs w:val="32"/>
          <w:highlight w:val="none"/>
        </w:rPr>
        <w:t>（</w:t>
      </w:r>
      <w:bookmarkEnd w:id="9"/>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六</w:t>
      </w:r>
      <w:r>
        <w:rPr>
          <w:rFonts w:hint="default" w:ascii="Times New Roman" w:hAnsi="Times New Roman" w:eastAsia="黑体" w:cs="Times New Roman"/>
          <w:color w:val="000000"/>
          <w:spacing w:val="0"/>
          <w:w w:val="100"/>
          <w:position w:val="0"/>
          <w:sz w:val="32"/>
          <w:szCs w:val="32"/>
          <w:highlight w:val="none"/>
        </w:rPr>
        <w:t>、竞买申请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公告两</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公告两</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宗国有建设用地使用权网上挂牌出让实行竞买资格后置审查。竞买申请人交纳足额竞买保证金即获得竞买报价权限。</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七</w:t>
      </w:r>
      <w:r>
        <w:rPr>
          <w:rFonts w:hint="default" w:ascii="Times New Roman" w:hAnsi="Times New Roman" w:eastAsia="黑体" w:cs="Times New Roman"/>
          <w:color w:val="000000"/>
          <w:spacing w:val="0"/>
          <w:w w:val="100"/>
          <w:position w:val="0"/>
          <w:sz w:val="32"/>
          <w:szCs w:val="32"/>
          <w:highlight w:val="none"/>
        </w:rPr>
        <w:t>、竞买人电子报价及电子限时竞价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八</w:t>
      </w:r>
      <w:r>
        <w:rPr>
          <w:rFonts w:hint="default" w:ascii="Times New Roman" w:hAnsi="Times New Roman" w:eastAsia="黑体" w:cs="Times New Roman"/>
          <w:color w:val="000000"/>
          <w:spacing w:val="0"/>
          <w:w w:val="100"/>
          <w:position w:val="0"/>
          <w:sz w:val="32"/>
          <w:szCs w:val="32"/>
          <w:highlight w:val="none"/>
        </w:rPr>
        <w:t>、确定成交候选人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公告两宗</w:t>
      </w:r>
      <w:r>
        <w:rPr>
          <w:rFonts w:hint="default" w:ascii="Times New Roman" w:hAnsi="Times New Roman" w:eastAsia="仿宋_GB2312" w:cs="Times New Roman"/>
          <w:color w:val="000000"/>
          <w:spacing w:val="0"/>
          <w:w w:val="100"/>
          <w:position w:val="0"/>
          <w:sz w:val="32"/>
          <w:szCs w:val="32"/>
          <w:highlight w:val="none"/>
        </w:rPr>
        <w:t>国有建设用地使用权网上挂牌出让为无底价挂牌采取价高者得方式出让并确定成交候选人。</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九</w:t>
      </w:r>
      <w:r>
        <w:rPr>
          <w:rFonts w:hint="default" w:ascii="Times New Roman" w:hAnsi="Times New Roman" w:eastAsia="黑体" w:cs="Times New Roman"/>
          <w:color w:val="000000"/>
          <w:spacing w:val="0"/>
          <w:w w:val="100"/>
          <w:position w:val="0"/>
          <w:sz w:val="32"/>
          <w:szCs w:val="32"/>
          <w:highlight w:val="none"/>
        </w:rPr>
        <w:t>、资格审查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成交候选人应在网上挂牌交易系统确定成交候选人之日起5个工作日内将竞买申请纸质材料提交至我局，由我局对竞买资格进行审查。我局将于2022年1</w:t>
      </w:r>
      <w:r>
        <w:rPr>
          <w:rFonts w:hint="default"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14</w:t>
      </w:r>
      <w:r>
        <w:rPr>
          <w:rFonts w:hint="default" w:ascii="Times New Roman" w:hAnsi="Times New Roman" w:eastAsia="仿宋_GB2312" w:cs="Times New Roman"/>
          <w:color w:val="000000"/>
          <w:spacing w:val="0"/>
          <w:w w:val="100"/>
          <w:position w:val="0"/>
          <w:sz w:val="32"/>
          <w:szCs w:val="32"/>
          <w:highlight w:val="none"/>
        </w:rPr>
        <w:t>日前确定符合竞买资格的成交候选人为竞得人。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成交候选人资格审查须提交下列材料：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0" w:name="bookmark24"/>
      <w:r>
        <w:rPr>
          <w:rFonts w:hint="default" w:ascii="Times New Roman" w:hAnsi="Times New Roman" w:eastAsia="仿宋_GB2312" w:cs="Times New Roman"/>
          <w:color w:val="000000"/>
          <w:spacing w:val="0"/>
          <w:w w:val="100"/>
          <w:position w:val="0"/>
          <w:sz w:val="32"/>
          <w:szCs w:val="32"/>
          <w:highlight w:val="none"/>
        </w:rPr>
        <w:t>（</w:t>
      </w:r>
      <w:bookmarkEnd w:id="10"/>
      <w:r>
        <w:rPr>
          <w:rFonts w:hint="default" w:ascii="Times New Roman" w:hAnsi="Times New Roman" w:eastAsia="仿宋_GB2312" w:cs="Times New Roman"/>
          <w:color w:val="000000"/>
          <w:spacing w:val="0"/>
          <w:w w:val="100"/>
          <w:position w:val="0"/>
          <w:sz w:val="32"/>
          <w:szCs w:val="32"/>
          <w:highlight w:val="none"/>
        </w:rPr>
        <w:t>一）《竞买申请书》（加盖公章）；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1" w:name="bookmark25"/>
      <w:r>
        <w:rPr>
          <w:rFonts w:hint="default" w:ascii="Times New Roman" w:hAnsi="Times New Roman" w:eastAsia="仿宋_GB2312" w:cs="Times New Roman"/>
          <w:color w:val="000000"/>
          <w:spacing w:val="0"/>
          <w:w w:val="100"/>
          <w:position w:val="0"/>
          <w:sz w:val="32"/>
          <w:szCs w:val="32"/>
          <w:highlight w:val="none"/>
        </w:rPr>
        <w:t>（</w:t>
      </w:r>
      <w:bookmarkEnd w:id="11"/>
      <w:r>
        <w:rPr>
          <w:rFonts w:hint="default" w:ascii="Times New Roman" w:hAnsi="Times New Roman" w:eastAsia="仿宋_GB2312" w:cs="Times New Roman"/>
          <w:color w:val="000000"/>
          <w:spacing w:val="0"/>
          <w:w w:val="100"/>
          <w:position w:val="0"/>
          <w:sz w:val="32"/>
          <w:szCs w:val="32"/>
          <w:highlight w:val="none"/>
        </w:rPr>
        <w:t>二）《竞价结果通知书》（加盖公章）；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2" w:name="bookmark26"/>
      <w:r>
        <w:rPr>
          <w:rFonts w:hint="default" w:ascii="Times New Roman" w:hAnsi="Times New Roman" w:eastAsia="仿宋_GB2312" w:cs="Times New Roman"/>
          <w:color w:val="000000"/>
          <w:spacing w:val="0"/>
          <w:w w:val="100"/>
          <w:position w:val="0"/>
          <w:sz w:val="32"/>
          <w:szCs w:val="32"/>
          <w:highlight w:val="none"/>
        </w:rPr>
        <w:t>（</w:t>
      </w:r>
      <w:bookmarkEnd w:id="12"/>
      <w:r>
        <w:rPr>
          <w:rFonts w:hint="default" w:ascii="Times New Roman" w:hAnsi="Times New Roman" w:eastAsia="仿宋_GB2312" w:cs="Times New Roman"/>
          <w:color w:val="000000"/>
          <w:spacing w:val="0"/>
          <w:w w:val="100"/>
          <w:position w:val="0"/>
          <w:sz w:val="32"/>
          <w:szCs w:val="32"/>
          <w:highlight w:val="none"/>
        </w:rPr>
        <w:t>三）《竞买保证金到账通知书》（加盖公章）；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3" w:name="bookmark27"/>
      <w:r>
        <w:rPr>
          <w:rFonts w:hint="default" w:ascii="Times New Roman" w:hAnsi="Times New Roman" w:eastAsia="仿宋_GB2312" w:cs="Times New Roman"/>
          <w:color w:val="000000"/>
          <w:spacing w:val="0"/>
          <w:w w:val="100"/>
          <w:position w:val="0"/>
          <w:sz w:val="32"/>
          <w:szCs w:val="32"/>
          <w:highlight w:val="none"/>
        </w:rPr>
        <w:t>（</w:t>
      </w:r>
      <w:bookmarkEnd w:id="13"/>
      <w:r>
        <w:rPr>
          <w:rFonts w:hint="default" w:ascii="Times New Roman" w:hAnsi="Times New Roman" w:eastAsia="仿宋_GB2312" w:cs="Times New Roman"/>
          <w:color w:val="000000"/>
          <w:spacing w:val="0"/>
          <w:w w:val="100"/>
          <w:position w:val="0"/>
          <w:sz w:val="32"/>
          <w:szCs w:val="32"/>
          <w:highlight w:val="none"/>
        </w:rPr>
        <w:t>四）竞买保证金转账凭证复印件（加盖公章）；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4" w:name="bookmark28"/>
      <w:r>
        <w:rPr>
          <w:rFonts w:hint="default" w:ascii="Times New Roman" w:hAnsi="Times New Roman" w:eastAsia="仿宋_GB2312" w:cs="Times New Roman"/>
          <w:color w:val="000000"/>
          <w:spacing w:val="0"/>
          <w:w w:val="100"/>
          <w:position w:val="0"/>
          <w:sz w:val="32"/>
          <w:szCs w:val="32"/>
          <w:highlight w:val="none"/>
        </w:rPr>
        <w:t>（</w:t>
      </w:r>
      <w:bookmarkEnd w:id="14"/>
      <w:r>
        <w:rPr>
          <w:rFonts w:hint="default" w:ascii="Times New Roman" w:hAnsi="Times New Roman" w:eastAsia="仿宋_GB2312" w:cs="Times New Roman"/>
          <w:color w:val="000000"/>
          <w:spacing w:val="0"/>
          <w:w w:val="100"/>
          <w:position w:val="0"/>
          <w:sz w:val="32"/>
          <w:szCs w:val="32"/>
          <w:highlight w:val="none"/>
        </w:rPr>
        <w:t>五）申请竞买人有效的《营业执照》复印件（加盖公章）；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5" w:name="bookmark29"/>
      <w:r>
        <w:rPr>
          <w:rFonts w:hint="default" w:ascii="Times New Roman" w:hAnsi="Times New Roman" w:eastAsia="仿宋_GB2312" w:cs="Times New Roman"/>
          <w:color w:val="000000"/>
          <w:spacing w:val="0"/>
          <w:w w:val="100"/>
          <w:position w:val="0"/>
          <w:sz w:val="32"/>
          <w:szCs w:val="32"/>
          <w:highlight w:val="none"/>
        </w:rPr>
        <w:t>（</w:t>
      </w:r>
      <w:bookmarkEnd w:id="15"/>
      <w:r>
        <w:rPr>
          <w:rFonts w:hint="default" w:ascii="Times New Roman" w:hAnsi="Times New Roman" w:eastAsia="仿宋_GB2312" w:cs="Times New Roman"/>
          <w:color w:val="000000"/>
          <w:spacing w:val="0"/>
          <w:w w:val="100"/>
          <w:position w:val="0"/>
          <w:sz w:val="32"/>
          <w:szCs w:val="32"/>
          <w:highlight w:val="none"/>
        </w:rPr>
        <w:t>六）法定代表人身份证复印件（加盖公章）；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16" w:name="bookmark30"/>
      <w:r>
        <w:rPr>
          <w:rFonts w:hint="default" w:ascii="Times New Roman" w:hAnsi="Times New Roman" w:eastAsia="仿宋_GB2312" w:cs="Times New Roman"/>
          <w:color w:val="000000"/>
          <w:spacing w:val="0"/>
          <w:w w:val="100"/>
          <w:position w:val="0"/>
          <w:sz w:val="32"/>
          <w:szCs w:val="32"/>
          <w:highlight w:val="none"/>
        </w:rPr>
        <w:t>（</w:t>
      </w:r>
      <w:bookmarkEnd w:id="16"/>
      <w:r>
        <w:rPr>
          <w:rFonts w:hint="default" w:ascii="Times New Roman" w:hAnsi="Times New Roman" w:eastAsia="仿宋_GB2312" w:cs="Times New Roman"/>
          <w:color w:val="000000"/>
          <w:spacing w:val="0"/>
          <w:w w:val="100"/>
          <w:position w:val="0"/>
          <w:sz w:val="32"/>
          <w:szCs w:val="32"/>
          <w:highlight w:val="none"/>
        </w:rPr>
        <w:t>七）授权他人代理的授权委托书及代理人身份证复印件（核对原件）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八</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default"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十、签订成交确认书、出让合同及支付土地出让金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付清出让金及有关税费后，竞得人可申请办理建设用地审批及土地登记发证手续。</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一</w:t>
      </w:r>
      <w:r>
        <w:rPr>
          <w:rFonts w:hint="default" w:ascii="Times New Roman" w:hAnsi="Times New Roman" w:eastAsia="黑体" w:cs="Times New Roman"/>
          <w:color w:val="000000"/>
          <w:spacing w:val="0"/>
          <w:w w:val="100"/>
          <w:position w:val="0"/>
          <w:sz w:val="32"/>
          <w:szCs w:val="32"/>
          <w:highlight w:val="none"/>
        </w:rPr>
        <w:t>、竞买保证金退还或转付成交价款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未成功竞得的竞买人所交竞买保证金，在5个工作日内予以退还；若违法违规竞买的，按有关规定处罚后予以退还。</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竞得人签订《成交确认书》后，缴交的保证金中按成交价的20%转作定金</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竞得人逾期或拒绝签订《出让合同》的，定金不予退还。竞得人签订《出让合同》后，定金转作土地出让价款。</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二</w:t>
      </w:r>
      <w:r>
        <w:rPr>
          <w:rFonts w:hint="default" w:ascii="Times New Roman" w:hAnsi="Times New Roman" w:eastAsia="黑体" w:cs="Times New Roman"/>
          <w:color w:val="000000"/>
          <w:spacing w:val="0"/>
          <w:w w:val="100"/>
          <w:position w:val="0"/>
          <w:sz w:val="32"/>
          <w:szCs w:val="32"/>
          <w:highlight w:val="none"/>
        </w:rPr>
        <w:t>、违规责任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7" w:name="bookmark31"/>
      <w:r>
        <w:rPr>
          <w:rFonts w:hint="default" w:ascii="Times New Roman" w:hAnsi="Times New Roman" w:eastAsia="仿宋_GB2312" w:cs="Times New Roman"/>
          <w:color w:val="000000"/>
          <w:spacing w:val="0"/>
          <w:w w:val="100"/>
          <w:position w:val="0"/>
          <w:sz w:val="32"/>
          <w:szCs w:val="32"/>
          <w:highlight w:val="none"/>
        </w:rPr>
        <w:t>（</w:t>
      </w:r>
      <w:bookmarkEnd w:id="17"/>
      <w:r>
        <w:rPr>
          <w:rFonts w:hint="default" w:ascii="Times New Roman" w:hAnsi="Times New Roman" w:eastAsia="仿宋_GB2312" w:cs="Times New Roman"/>
          <w:color w:val="000000"/>
          <w:spacing w:val="0"/>
          <w:w w:val="100"/>
          <w:position w:val="0"/>
          <w:sz w:val="32"/>
          <w:szCs w:val="32"/>
          <w:highlight w:val="none"/>
        </w:rPr>
        <w:t>一）不符合竞买资格条件的；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8" w:name="bookmark32"/>
      <w:r>
        <w:rPr>
          <w:rFonts w:hint="default" w:ascii="Times New Roman" w:hAnsi="Times New Roman" w:eastAsia="仿宋_GB2312" w:cs="Times New Roman"/>
          <w:color w:val="000000"/>
          <w:spacing w:val="0"/>
          <w:w w:val="100"/>
          <w:position w:val="0"/>
          <w:sz w:val="32"/>
          <w:szCs w:val="32"/>
          <w:highlight w:val="none"/>
        </w:rPr>
        <w:t>（</w:t>
      </w:r>
      <w:bookmarkEnd w:id="18"/>
      <w:r>
        <w:rPr>
          <w:rFonts w:hint="default" w:ascii="Times New Roman" w:hAnsi="Times New Roman" w:eastAsia="仿宋_GB2312" w:cs="Times New Roman"/>
          <w:color w:val="000000"/>
          <w:spacing w:val="0"/>
          <w:w w:val="100"/>
          <w:position w:val="0"/>
          <w:sz w:val="32"/>
          <w:szCs w:val="32"/>
          <w:highlight w:val="none"/>
        </w:rPr>
        <w:t>二）提供虚假文件材料，隐瞒重要事实的；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9" w:name="bookmark33"/>
      <w:r>
        <w:rPr>
          <w:rFonts w:hint="default" w:ascii="Times New Roman" w:hAnsi="Times New Roman" w:eastAsia="仿宋_GB2312" w:cs="Times New Roman"/>
          <w:color w:val="000000"/>
          <w:spacing w:val="0"/>
          <w:w w:val="100"/>
          <w:position w:val="0"/>
          <w:sz w:val="32"/>
          <w:szCs w:val="32"/>
          <w:highlight w:val="none"/>
        </w:rPr>
        <w:t>（</w:t>
      </w:r>
      <w:bookmarkEnd w:id="19"/>
      <w:r>
        <w:rPr>
          <w:rFonts w:hint="default" w:ascii="Times New Roman" w:hAnsi="Times New Roman" w:eastAsia="仿宋_GB2312" w:cs="Times New Roman"/>
          <w:color w:val="000000"/>
          <w:spacing w:val="0"/>
          <w:w w:val="100"/>
          <w:position w:val="0"/>
          <w:sz w:val="32"/>
          <w:szCs w:val="32"/>
          <w:highlight w:val="none"/>
        </w:rPr>
        <w:t>三）采取行贿、恶意串通等非法手段竞得的；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0" w:name="bookmark34"/>
      <w:r>
        <w:rPr>
          <w:rFonts w:hint="default" w:ascii="Times New Roman" w:hAnsi="Times New Roman" w:eastAsia="仿宋_GB2312" w:cs="Times New Roman"/>
          <w:color w:val="000000"/>
          <w:spacing w:val="0"/>
          <w:w w:val="100"/>
          <w:position w:val="0"/>
          <w:sz w:val="32"/>
          <w:szCs w:val="32"/>
          <w:highlight w:val="none"/>
        </w:rPr>
        <w:t>（</w:t>
      </w:r>
      <w:bookmarkEnd w:id="20"/>
      <w:r>
        <w:rPr>
          <w:rFonts w:hint="default" w:ascii="Times New Roman" w:hAnsi="Times New Roman" w:eastAsia="仿宋_GB2312" w:cs="Times New Roman"/>
          <w:color w:val="000000"/>
          <w:spacing w:val="0"/>
          <w:w w:val="100"/>
          <w:position w:val="0"/>
          <w:sz w:val="32"/>
          <w:szCs w:val="32"/>
          <w:highlight w:val="none"/>
        </w:rPr>
        <w:t>四）无正当理由逾期或拒绝签订成交确认书的</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三</w:t>
      </w:r>
      <w:r>
        <w:rPr>
          <w:rFonts w:hint="default" w:ascii="Times New Roman" w:hAnsi="Times New Roman" w:eastAsia="黑体" w:cs="Times New Roman"/>
          <w:color w:val="000000"/>
          <w:spacing w:val="0"/>
          <w:w w:val="100"/>
          <w:position w:val="0"/>
          <w:sz w:val="32"/>
          <w:szCs w:val="32"/>
          <w:highlight w:val="none"/>
        </w:rPr>
        <w:t>、其他需要公告的事项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1" w:name="bookmark35"/>
      <w:r>
        <w:rPr>
          <w:rFonts w:hint="default" w:ascii="Times New Roman" w:hAnsi="Times New Roman" w:eastAsia="仿宋_GB2312" w:cs="Times New Roman"/>
          <w:color w:val="000000"/>
          <w:spacing w:val="0"/>
          <w:w w:val="100"/>
          <w:position w:val="0"/>
          <w:sz w:val="32"/>
          <w:szCs w:val="32"/>
          <w:highlight w:val="none"/>
        </w:rPr>
        <w:t>（</w:t>
      </w:r>
      <w:bookmarkEnd w:id="21"/>
      <w:r>
        <w:rPr>
          <w:rFonts w:hint="default" w:ascii="Times New Roman" w:hAnsi="Times New Roman" w:eastAsia="仿宋_GB2312" w:cs="Times New Roman"/>
          <w:color w:val="000000"/>
          <w:spacing w:val="0"/>
          <w:w w:val="100"/>
          <w:position w:val="0"/>
          <w:sz w:val="32"/>
          <w:szCs w:val="32"/>
          <w:highlight w:val="none"/>
        </w:rPr>
        <w:t>一）本</w:t>
      </w:r>
      <w:r>
        <w:rPr>
          <w:rFonts w:hint="default" w:ascii="Times New Roman" w:hAnsi="Times New Roman" w:eastAsia="仿宋_GB2312" w:cs="Times New Roman"/>
          <w:color w:val="000000"/>
          <w:spacing w:val="0"/>
          <w:w w:val="100"/>
          <w:position w:val="0"/>
          <w:sz w:val="32"/>
          <w:szCs w:val="32"/>
          <w:highlight w:val="none"/>
          <w:lang w:val="en-US" w:eastAsia="zh-CN"/>
        </w:rPr>
        <w:t>公告两</w:t>
      </w:r>
      <w:r>
        <w:rPr>
          <w:rFonts w:hint="default" w:ascii="Times New Roman" w:hAnsi="Times New Roman" w:eastAsia="仿宋_GB2312" w:cs="Times New Roman"/>
          <w:color w:val="000000"/>
          <w:spacing w:val="0"/>
          <w:w w:val="100"/>
          <w:position w:val="0"/>
          <w:sz w:val="32"/>
          <w:szCs w:val="32"/>
          <w:highlight w:val="none"/>
        </w:rPr>
        <w:t>宗地网上挂牌出让的详细资料和具体要求，见网上挂牌交易系统。申请人可在网上挂牌交易系统下载挂牌出让公告、须知及相关交易文件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2" w:name="bookmark36"/>
      <w:r>
        <w:rPr>
          <w:rFonts w:hint="default" w:ascii="Times New Roman" w:hAnsi="Times New Roman" w:eastAsia="仿宋_GB2312" w:cs="Times New Roman"/>
          <w:color w:val="000000"/>
          <w:spacing w:val="0"/>
          <w:w w:val="100"/>
          <w:position w:val="0"/>
          <w:sz w:val="32"/>
          <w:szCs w:val="32"/>
          <w:highlight w:val="none"/>
          <w:lang w:val="zh-CN" w:eastAsia="zh-CN"/>
        </w:rPr>
        <w:t>（</w:t>
      </w:r>
      <w:bookmarkEnd w:id="22"/>
      <w:r>
        <w:rPr>
          <w:rFonts w:hint="default" w:ascii="Times New Roman" w:hAnsi="Times New Roman" w:eastAsia="仿宋_GB2312" w:cs="Times New Roman"/>
          <w:color w:val="000000"/>
          <w:spacing w:val="0"/>
          <w:w w:val="100"/>
          <w:position w:val="0"/>
          <w:sz w:val="32"/>
          <w:szCs w:val="32"/>
          <w:highlight w:val="none"/>
        </w:rPr>
        <w:t>二）有意竞买者可以自行到地块现场踏勘（可在网上挂牌交易系统查阅用地红线图）</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3" w:name="bookmark37"/>
      <w:r>
        <w:rPr>
          <w:rFonts w:hint="default" w:ascii="Times New Roman" w:hAnsi="Times New Roman" w:eastAsia="仿宋_GB2312" w:cs="Times New Roman"/>
          <w:color w:val="000000"/>
          <w:spacing w:val="0"/>
          <w:w w:val="100"/>
          <w:position w:val="0"/>
          <w:sz w:val="32"/>
          <w:szCs w:val="32"/>
          <w:highlight w:val="none"/>
        </w:rPr>
        <w:t>（</w:t>
      </w:r>
      <w:bookmarkEnd w:id="23"/>
      <w:r>
        <w:rPr>
          <w:rFonts w:hint="default" w:ascii="Times New Roman" w:hAnsi="Times New Roman" w:eastAsia="仿宋_GB2312" w:cs="Times New Roman"/>
          <w:color w:val="000000"/>
          <w:spacing w:val="0"/>
          <w:w w:val="100"/>
          <w:position w:val="0"/>
          <w:sz w:val="32"/>
          <w:szCs w:val="32"/>
          <w:highlight w:val="none"/>
        </w:rPr>
        <w:t>三）竞买申请一经受理确认后，即视为竞买人对网上挂牌出让公告、须知、相关交易文件及地块现状无异议并全部接受，并对有关承诺承担法律责任</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4" w:name="bookmark14"/>
      <w:bookmarkStart w:id="25" w:name="bookmark38"/>
      <w:r>
        <w:rPr>
          <w:rFonts w:hint="default" w:ascii="Times New Roman" w:hAnsi="Times New Roman" w:eastAsia="仿宋_GB2312" w:cs="Times New Roman"/>
          <w:color w:val="000000"/>
          <w:spacing w:val="0"/>
          <w:w w:val="100"/>
          <w:position w:val="0"/>
          <w:sz w:val="32"/>
          <w:szCs w:val="32"/>
          <w:highlight w:val="none"/>
        </w:rPr>
        <w:t>（</w:t>
      </w:r>
      <w:bookmarkEnd w:id="24"/>
      <w:r>
        <w:rPr>
          <w:rFonts w:hint="default" w:ascii="Times New Roman" w:hAnsi="Times New Roman" w:eastAsia="仿宋_GB2312" w:cs="Times New Roman"/>
          <w:color w:val="000000"/>
          <w:spacing w:val="0"/>
          <w:w w:val="100"/>
          <w:position w:val="0"/>
          <w:sz w:val="32"/>
          <w:szCs w:val="32"/>
          <w:highlight w:val="none"/>
          <w:lang w:val="en-US" w:eastAsia="zh-CN"/>
        </w:rPr>
        <w:t>四</w:t>
      </w:r>
      <w:r>
        <w:rPr>
          <w:rFonts w:hint="default" w:ascii="Times New Roman" w:hAnsi="Times New Roman" w:eastAsia="仿宋_GB2312" w:cs="Times New Roman"/>
          <w:color w:val="000000"/>
          <w:spacing w:val="0"/>
          <w:w w:val="100"/>
          <w:position w:val="0"/>
          <w:sz w:val="32"/>
          <w:szCs w:val="32"/>
          <w:highlight w:val="none"/>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w:t>
      </w:r>
      <w:bookmarkEnd w:id="26"/>
      <w:r>
        <w:rPr>
          <w:rFonts w:hint="default" w:ascii="Times New Roman" w:hAnsi="Times New Roman" w:eastAsia="仿宋_GB2312" w:cs="Times New Roman"/>
          <w:color w:val="000000"/>
          <w:spacing w:val="0"/>
          <w:w w:val="100"/>
          <w:position w:val="0"/>
          <w:sz w:val="32"/>
          <w:szCs w:val="32"/>
          <w:highlight w:val="none"/>
          <w:lang w:val="en-US" w:eastAsia="zh-CN"/>
        </w:rPr>
        <w:t>五</w:t>
      </w:r>
      <w:r>
        <w:rPr>
          <w:rFonts w:hint="default" w:ascii="Times New Roman" w:hAnsi="Times New Roman" w:eastAsia="仿宋_GB2312" w:cs="Times New Roman"/>
          <w:color w:val="000000"/>
          <w:spacing w:val="0"/>
          <w:w w:val="100"/>
          <w:position w:val="0"/>
          <w:sz w:val="32"/>
          <w:szCs w:val="32"/>
          <w:highlight w:val="none"/>
        </w:rPr>
        <w:t>）竞得人除缴交成交地价款外，还需按规定缴交契税等有关税费；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7" w:name="bookmark15"/>
      <w:r>
        <w:rPr>
          <w:rFonts w:hint="default" w:ascii="Times New Roman" w:hAnsi="Times New Roman" w:eastAsia="仿宋_GB2312" w:cs="Times New Roman"/>
          <w:color w:val="000000"/>
          <w:spacing w:val="0"/>
          <w:w w:val="100"/>
          <w:position w:val="0"/>
          <w:sz w:val="32"/>
          <w:szCs w:val="32"/>
          <w:highlight w:val="none"/>
        </w:rPr>
        <w:t>（</w:t>
      </w:r>
      <w:bookmarkEnd w:id="27"/>
      <w:r>
        <w:rPr>
          <w:rFonts w:hint="default" w:ascii="Times New Roman" w:hAnsi="Times New Roman" w:eastAsia="仿宋_GB2312" w:cs="Times New Roman"/>
          <w:color w:val="000000"/>
          <w:spacing w:val="0"/>
          <w:w w:val="100"/>
          <w:position w:val="0"/>
          <w:sz w:val="32"/>
          <w:szCs w:val="32"/>
          <w:highlight w:val="none"/>
          <w:lang w:val="en-US" w:eastAsia="zh-CN"/>
        </w:rPr>
        <w:t>六</w:t>
      </w:r>
      <w:r>
        <w:rPr>
          <w:rFonts w:hint="default" w:ascii="Times New Roman" w:hAnsi="Times New Roman" w:eastAsia="仿宋_GB2312" w:cs="Times New Roman"/>
          <w:color w:val="000000"/>
          <w:spacing w:val="0"/>
          <w:w w:val="100"/>
          <w:position w:val="0"/>
          <w:sz w:val="32"/>
          <w:szCs w:val="32"/>
          <w:highlight w:val="none"/>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highlight w:val="none"/>
          <w:lang w:val="zh-CN" w:eastAsia="zh-CN"/>
        </w:rPr>
        <w:t>“《出</w:t>
      </w:r>
      <w:r>
        <w:rPr>
          <w:rFonts w:hint="default" w:ascii="Times New Roman" w:hAnsi="Times New Roman" w:eastAsia="仿宋_GB2312" w:cs="Times New Roman"/>
          <w:color w:val="000000"/>
          <w:spacing w:val="0"/>
          <w:w w:val="100"/>
          <w:position w:val="0"/>
          <w:sz w:val="32"/>
          <w:szCs w:val="32"/>
          <w:highlight w:val="none"/>
        </w:rPr>
        <w:t>让合同</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zh-CN" w:eastAsia="zh-CN"/>
        </w:rPr>
        <w:t>”</w:t>
      </w:r>
      <w:r>
        <w:rPr>
          <w:rFonts w:hint="default" w:ascii="Times New Roman" w:hAnsi="Times New Roman" w:eastAsia="仿宋_GB2312" w:cs="Times New Roman"/>
          <w:color w:val="000000"/>
          <w:spacing w:val="0"/>
          <w:w w:val="100"/>
          <w:position w:val="0"/>
          <w:sz w:val="32"/>
          <w:szCs w:val="32"/>
          <w:highlight w:val="none"/>
        </w:rPr>
        <w:t>）时，提交惠州仲恺高新技术产业开发区科技创新局出具的与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宗地产业类型一致的优先发展产业项目文件，并同步</w:t>
      </w:r>
      <w:r>
        <w:rPr>
          <w:rFonts w:hint="default" w:ascii="Times New Roman" w:hAnsi="Times New Roman" w:eastAsia="仿宋_GB2312" w:cs="Times New Roman"/>
          <w:color w:val="000000"/>
          <w:spacing w:val="0"/>
          <w:w w:val="100"/>
          <w:position w:val="0"/>
          <w:sz w:val="32"/>
          <w:szCs w:val="32"/>
          <w:highlight w:val="none"/>
          <w:lang w:val="en-US" w:eastAsia="zh-CN"/>
        </w:rPr>
        <w:t>提交与相关部门</w:t>
      </w:r>
      <w:r>
        <w:rPr>
          <w:rFonts w:hint="default" w:ascii="Times New Roman" w:hAnsi="Times New Roman" w:eastAsia="仿宋_GB2312" w:cs="Times New Roman"/>
          <w:color w:val="000000"/>
          <w:spacing w:val="0"/>
          <w:w w:val="100"/>
          <w:position w:val="0"/>
          <w:sz w:val="32"/>
          <w:szCs w:val="32"/>
          <w:highlight w:val="none"/>
        </w:rPr>
        <w:t>签订</w:t>
      </w:r>
      <w:r>
        <w:rPr>
          <w:rFonts w:hint="default" w:ascii="Times New Roman" w:hAnsi="Times New Roman" w:eastAsia="仿宋_GB2312" w:cs="Times New Roman"/>
          <w:color w:val="000000"/>
          <w:spacing w:val="0"/>
          <w:w w:val="100"/>
          <w:position w:val="0"/>
          <w:sz w:val="32"/>
          <w:szCs w:val="32"/>
          <w:highlight w:val="none"/>
          <w:lang w:val="en-US" w:eastAsia="zh-CN"/>
        </w:rPr>
        <w:t>的</w:t>
      </w:r>
      <w:r>
        <w:rPr>
          <w:rFonts w:hint="default" w:ascii="Times New Roman" w:hAnsi="Times New Roman" w:eastAsia="仿宋_GB2312" w:cs="Times New Roman"/>
          <w:color w:val="000000"/>
          <w:spacing w:val="0"/>
          <w:w w:val="100"/>
          <w:position w:val="0"/>
          <w:sz w:val="32"/>
          <w:szCs w:val="32"/>
          <w:highlight w:val="none"/>
        </w:rPr>
        <w:t>《仲恺高新区产业项目投资建设协议书》</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各宗地开发及使用规定如下：</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1、惠仲土（用地）挂[2022]006号地块应引进优先发展产业项目，产业类型为</w:t>
      </w:r>
      <w:r>
        <w:rPr>
          <w:rFonts w:hint="default" w:ascii="Times New Roman" w:hAnsi="Times New Roman" w:eastAsia="仿宋_GB2312" w:cs="Times New Roman"/>
          <w:kern w:val="2"/>
          <w:sz w:val="32"/>
          <w:szCs w:val="32"/>
          <w:highlight w:val="none"/>
          <w:u w:val="none"/>
          <w:lang w:val="en-US" w:eastAsia="zh-CN" w:bidi="ar-SA"/>
        </w:rPr>
        <w:t>可穿戴设备、智能机器人、智能家居产业</w:t>
      </w:r>
      <w:r>
        <w:rPr>
          <w:rFonts w:hint="default" w:ascii="Times New Roman" w:hAnsi="Times New Roman" w:eastAsia="仿宋_GB2312" w:cs="Times New Roman"/>
          <w:color w:val="000000"/>
          <w:spacing w:val="0"/>
          <w:w w:val="100"/>
          <w:position w:val="0"/>
          <w:sz w:val="32"/>
          <w:szCs w:val="32"/>
          <w:highlight w:val="none"/>
          <w:lang w:val="en-US" w:eastAsia="zh-CN"/>
        </w:rPr>
        <w:t>，投资强度≥10588元/平方米。竞得人须与</w:t>
      </w:r>
      <w:r>
        <w:rPr>
          <w:rFonts w:hint="default" w:ascii="Times New Roman" w:hAnsi="Times New Roman" w:eastAsia="仿宋_GB2312" w:cs="Times New Roman"/>
          <w:bCs/>
          <w:color w:val="000000"/>
          <w:sz w:val="32"/>
          <w:szCs w:val="32"/>
          <w:lang w:val="en-US" w:eastAsia="zh-CN"/>
        </w:rPr>
        <w:t>惠州</w:t>
      </w:r>
      <w:r>
        <w:rPr>
          <w:rFonts w:hint="default" w:ascii="Times New Roman" w:hAnsi="Times New Roman" w:eastAsia="仿宋_GB2312" w:cs="Times New Roman"/>
          <w:bCs/>
          <w:color w:val="auto"/>
          <w:sz w:val="32"/>
          <w:szCs w:val="32"/>
          <w:highlight w:val="none"/>
          <w:lang w:val="en-US" w:eastAsia="zh-CN"/>
        </w:rPr>
        <w:t>仲恺高新技术产业开发区经济发展局</w:t>
      </w:r>
      <w:r>
        <w:rPr>
          <w:rFonts w:hint="default" w:ascii="Times New Roman" w:hAnsi="Times New Roman" w:eastAsia="仿宋_GB2312" w:cs="Times New Roman"/>
          <w:color w:val="000000"/>
          <w:spacing w:val="0"/>
          <w:w w:val="100"/>
          <w:position w:val="0"/>
          <w:sz w:val="32"/>
          <w:szCs w:val="32"/>
          <w:highlight w:val="none"/>
          <w:lang w:val="en-US" w:eastAsia="zh-CN"/>
        </w:rPr>
        <w:t>签订《仲恺高新区产业项目投资建设协议书》。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2、惠仲土（用地）挂[2022]009号地块应引进优先发展产业项目，产业类型为包装材料、垫子缓冲材料、OCA光学胶、光学膜、新能源隔膜、新能源膜材产品的设计、生产与销售，投资强度≥12000元/平方米。竞得人须与</w:t>
      </w:r>
      <w:r>
        <w:rPr>
          <w:rFonts w:hint="default" w:ascii="Times New Roman" w:hAnsi="Times New Roman" w:eastAsia="仿宋_GB2312" w:cs="Times New Roman"/>
          <w:bCs/>
          <w:color w:val="000000"/>
          <w:sz w:val="32"/>
          <w:szCs w:val="32"/>
          <w:lang w:val="en-US" w:eastAsia="zh-CN"/>
        </w:rPr>
        <w:t>惠州</w:t>
      </w:r>
      <w:r>
        <w:rPr>
          <w:rFonts w:hint="default" w:ascii="Times New Roman" w:hAnsi="Times New Roman" w:eastAsia="仿宋_GB2312" w:cs="Times New Roman"/>
          <w:bCs/>
          <w:color w:val="auto"/>
          <w:sz w:val="32"/>
          <w:szCs w:val="32"/>
          <w:highlight w:val="none"/>
          <w:lang w:val="en-US" w:eastAsia="zh-CN"/>
        </w:rPr>
        <w:t>仲恺高新技术产业开发区经济发展局</w:t>
      </w:r>
      <w:r>
        <w:rPr>
          <w:rFonts w:hint="default" w:ascii="Times New Roman" w:hAnsi="Times New Roman" w:eastAsia="仿宋_GB2312" w:cs="Times New Roman"/>
          <w:color w:val="000000"/>
          <w:spacing w:val="0"/>
          <w:w w:val="100"/>
          <w:position w:val="0"/>
          <w:sz w:val="32"/>
          <w:szCs w:val="32"/>
          <w:highlight w:val="none"/>
          <w:lang w:val="en-US" w:eastAsia="zh-CN"/>
        </w:rPr>
        <w:t>签订《仲恺高新区产业项目投资建设协议书》。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16"/>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七</w:t>
      </w:r>
      <w:r>
        <w:rPr>
          <w:rFonts w:hint="default" w:ascii="Times New Roman" w:hAnsi="Times New Roman" w:eastAsia="仿宋_GB2312" w:cs="Times New Roman"/>
          <w:color w:val="000000"/>
          <w:spacing w:val="0"/>
          <w:w w:val="100"/>
          <w:position w:val="0"/>
          <w:sz w:val="32"/>
          <w:szCs w:val="32"/>
        </w:rPr>
        <w:t>）地块动工竣工时间及地块交付时间</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《出让合同》签订之日交付土地；动</w:t>
      </w:r>
      <w:r>
        <w:rPr>
          <w:rFonts w:hint="default" w:ascii="Times New Roman" w:hAnsi="Times New Roman" w:eastAsia="仿宋_GB2312" w:cs="Times New Roman"/>
          <w:color w:val="000000"/>
          <w:spacing w:val="0"/>
          <w:w w:val="100"/>
          <w:position w:val="0"/>
          <w:sz w:val="32"/>
          <w:szCs w:val="32"/>
          <w:highlight w:val="none"/>
        </w:rPr>
        <w:t>、竣工时间按《仲恺高新区产业项目投资建设协议书》执行</w:t>
      </w:r>
      <w:r>
        <w:rPr>
          <w:rFonts w:hint="default" w:ascii="Times New Roman" w:hAnsi="Times New Roman" w:eastAsia="仿宋_GB2312" w:cs="Times New Roman"/>
          <w:color w:val="000000"/>
          <w:spacing w:val="0"/>
          <w:w w:val="100"/>
          <w:position w:val="0"/>
          <w:sz w:val="32"/>
          <w:szCs w:val="32"/>
          <w:highlight w:val="none"/>
          <w:lang w:eastAsia="zh-CN"/>
        </w:rPr>
        <w:t>；</w:t>
      </w:r>
    </w:p>
    <w:bookmarkEnd w:id="28"/>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八</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w:t>
      </w:r>
      <w:r>
        <w:rPr>
          <w:rFonts w:hint="default" w:ascii="Times New Roman" w:hAnsi="Times New Roman" w:eastAsia="仿宋_GB2312" w:cs="Times New Roman"/>
          <w:color w:val="000000"/>
          <w:spacing w:val="0"/>
          <w:w w:val="100"/>
          <w:position w:val="0"/>
          <w:sz w:val="32"/>
          <w:szCs w:val="32"/>
          <w:highlight w:val="none"/>
        </w:rPr>
        <w:t>期日应以国土资源主管部门依法受理补缴地价申请时点为准；《仲恺高新区产业项目投资建设协议书》的后续监管职责由</w:t>
      </w:r>
      <w:r>
        <w:rPr>
          <w:rFonts w:hint="default" w:ascii="Times New Roman" w:hAnsi="Times New Roman" w:eastAsia="仿宋_GB2312" w:cs="Times New Roman"/>
          <w:color w:val="000000"/>
          <w:spacing w:val="0"/>
          <w:w w:val="100"/>
          <w:position w:val="0"/>
          <w:sz w:val="32"/>
          <w:szCs w:val="32"/>
          <w:highlight w:val="none"/>
          <w:lang w:val="en-US" w:eastAsia="zh-CN"/>
        </w:rPr>
        <w:t>相关部门</w:t>
      </w:r>
      <w:r>
        <w:rPr>
          <w:rFonts w:hint="default" w:ascii="Times New Roman" w:hAnsi="Times New Roman" w:eastAsia="仿宋_GB2312" w:cs="Times New Roman"/>
          <w:color w:val="000000"/>
          <w:spacing w:val="0"/>
          <w:w w:val="100"/>
          <w:position w:val="0"/>
          <w:sz w:val="32"/>
          <w:szCs w:val="32"/>
          <w:highlight w:val="none"/>
        </w:rPr>
        <w:t>负责对竞得人履行</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九</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本公告两宗</w:t>
      </w:r>
      <w:r>
        <w:rPr>
          <w:rFonts w:hint="default" w:ascii="Times New Roman" w:hAnsi="Times New Roman" w:eastAsia="仿宋_GB2312" w:cs="Times New Roman"/>
          <w:color w:val="000000"/>
          <w:spacing w:val="0"/>
          <w:w w:val="100"/>
          <w:position w:val="0"/>
          <w:sz w:val="32"/>
          <w:szCs w:val="32"/>
          <w:highlight w:val="none"/>
        </w:rPr>
        <w:t>地</w:t>
      </w:r>
      <w:r>
        <w:rPr>
          <w:rFonts w:hint="default" w:ascii="Times New Roman" w:hAnsi="Times New Roman" w:eastAsia="仿宋_GB2312" w:cs="Times New Roman"/>
          <w:color w:val="000000"/>
          <w:spacing w:val="0"/>
          <w:w w:val="100"/>
          <w:position w:val="0"/>
          <w:sz w:val="32"/>
          <w:szCs w:val="32"/>
          <w:highlight w:val="none"/>
          <w:lang w:val="en-US" w:eastAsia="zh-CN"/>
        </w:rPr>
        <w:t>设计方案应满足《规划设计条件告知书》要求，而《规划设计条件告知书》未明确的相关内容应符合现行国家、省、市有关的法律、法规、技术规范标准和政策等规定；</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十</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本公告两宗</w:t>
      </w:r>
      <w:r>
        <w:rPr>
          <w:rFonts w:hint="default" w:ascii="Times New Roman" w:hAnsi="Times New Roman" w:eastAsia="仿宋_GB2312" w:cs="Times New Roman"/>
          <w:color w:val="000000"/>
          <w:spacing w:val="0"/>
          <w:w w:val="100"/>
          <w:position w:val="0"/>
          <w:sz w:val="32"/>
          <w:szCs w:val="32"/>
          <w:highlight w:val="none"/>
        </w:rPr>
        <w:t>地交易全程适用《惠州市政务服务数据管理局惠州市公共资源交易中心公共资源电子交易规则》（惠市政数〔2022〕3号）。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十四</w:t>
      </w:r>
      <w:r>
        <w:rPr>
          <w:rFonts w:hint="default" w:ascii="Times New Roman" w:hAnsi="Times New Roman" w:eastAsia="黑体" w:cs="Times New Roman"/>
          <w:color w:val="000000"/>
          <w:spacing w:val="0"/>
          <w:w w:val="100"/>
          <w:position w:val="0"/>
          <w:sz w:val="32"/>
          <w:szCs w:val="32"/>
          <w:highlight w:val="none"/>
        </w:rPr>
        <w:t>、联系方式</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出让方：惠州市仲恺高新区国土资源分局</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联系地址：广东省惠州市仲恺高新区和畅五路人才服务大厦5楼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w:t>
      </w:r>
      <w:r>
        <w:rPr>
          <w:rFonts w:hint="default" w:ascii="Times New Roman" w:hAnsi="Times New Roman" w:eastAsia="仿宋_GB2312" w:cs="Times New Roman"/>
          <w:color w:val="000000"/>
          <w:spacing w:val="0"/>
          <w:w w:val="100"/>
          <w:position w:val="0"/>
          <w:sz w:val="32"/>
          <w:szCs w:val="32"/>
          <w:highlight w:val="none"/>
          <w:lang w:val="en-US" w:eastAsia="zh-CN"/>
        </w:rPr>
        <w:t>游元媛 张懿南</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36、</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01</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联系地址：广东省惠州市仲恺高新区和畅五路人才服务大厦10楼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联系人：汪鑫</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房曦 欧阳海棠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en-US"/>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11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tbl>
      <w:tblPr>
        <w:tblStyle w:val="5"/>
        <w:tblpPr w:leftFromText="180" w:rightFromText="180" w:vertAnchor="text" w:horzAnchor="page" w:tblpX="727" w:tblpY="13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62"/>
        <w:gridCol w:w="613"/>
        <w:gridCol w:w="787"/>
        <w:gridCol w:w="525"/>
        <w:gridCol w:w="800"/>
        <w:gridCol w:w="759"/>
        <w:gridCol w:w="1016"/>
        <w:gridCol w:w="659"/>
        <w:gridCol w:w="804"/>
        <w:gridCol w:w="850"/>
        <w:gridCol w:w="1550"/>
        <w:gridCol w:w="700"/>
        <w:gridCol w:w="721"/>
        <w:gridCol w:w="812"/>
        <w:gridCol w:w="800"/>
        <w:gridCol w:w="838"/>
        <w:gridCol w:w="80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76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613"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8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525"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438" w:type="dxa"/>
            <w:gridSpan w:val="7"/>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7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721"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1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38"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8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96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7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6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13"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87"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25" w:type="dxa"/>
            <w:vMerge w:val="continue"/>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规划设计条件告知书编号</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7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21"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1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38"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67"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惠仲土（用地）挂[2022]00</w:t>
            </w:r>
            <w:r>
              <w:rPr>
                <w:rFonts w:hint="default" w:ascii="Times New Roman" w:hAnsi="Times New Roman" w:cs="Times New Roman"/>
                <w:b w:val="0"/>
                <w:bCs w:val="0"/>
                <w:color w:val="auto"/>
                <w:sz w:val="18"/>
                <w:szCs w:val="18"/>
                <w:highlight w:val="none"/>
                <w:vertAlign w:val="baseline"/>
                <w:lang w:val="en-US" w:eastAsia="zh-CN"/>
              </w:rPr>
              <w:t>6</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w:t>
            </w:r>
            <w:r>
              <w:rPr>
                <w:rFonts w:hint="default" w:ascii="Times New Roman" w:hAnsi="Times New Roman" w:cs="Times New Roman"/>
                <w:b w:val="0"/>
                <w:bCs w:val="0"/>
                <w:color w:val="auto"/>
                <w:sz w:val="18"/>
                <w:szCs w:val="18"/>
                <w:highlight w:val="none"/>
                <w:vertAlign w:val="baseline"/>
                <w:lang w:val="en-US" w:eastAsia="zh-CN"/>
              </w:rPr>
              <w:t>仲恺高新区潼侨镇</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ZKC-034-12</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12634</w:t>
            </w:r>
            <w:r>
              <w:rPr>
                <w:rFonts w:hint="default" w:ascii="Times New Roman" w:hAnsi="Times New Roman" w:eastAsia="宋体" w:cs="Times New Roman"/>
                <w:color w:val="auto"/>
                <w:sz w:val="18"/>
                <w:szCs w:val="18"/>
                <w:highlight w:val="none"/>
                <w:lang w:val="en-US" w:eastAsia="zh-CN"/>
              </w:rPr>
              <w:t>（其中使用权面积为</w:t>
            </w:r>
            <w:r>
              <w:rPr>
                <w:rFonts w:hint="default" w:ascii="Times New Roman" w:hAnsi="Times New Roman" w:cs="Times New Roman"/>
                <w:color w:val="auto"/>
                <w:sz w:val="18"/>
                <w:szCs w:val="18"/>
                <w:highlight w:val="none"/>
                <w:lang w:val="en-US" w:eastAsia="zh-CN"/>
              </w:rPr>
              <w:t>9181</w:t>
            </w:r>
            <w:r>
              <w:rPr>
                <w:rFonts w:hint="default" w:ascii="Times New Roman" w:hAnsi="Times New Roman" w:eastAsia="宋体" w:cs="Times New Roman"/>
                <w:color w:val="auto"/>
                <w:sz w:val="18"/>
                <w:szCs w:val="18"/>
                <w:highlight w:val="none"/>
                <w:lang w:val="en-US" w:eastAsia="zh-CN"/>
              </w:rPr>
              <w:t>㎡）</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12634</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lang w:val="en-US" w:eastAsia="zh-CN"/>
              </w:rPr>
              <w:t>≤R≤2.5</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20214</w:t>
            </w:r>
            <w:r>
              <w:rPr>
                <w:rFonts w:hint="default" w:ascii="Times New Roman" w:hAnsi="Times New Roman" w:eastAsia="宋体" w:cs="Times New Roman"/>
                <w:color w:val="auto"/>
                <w:sz w:val="18"/>
                <w:szCs w:val="18"/>
                <w:highlight w:val="none"/>
                <w:lang w:val="en-US" w:eastAsia="zh-CN"/>
              </w:rPr>
              <w:t>≤S≤</w:t>
            </w:r>
            <w:r>
              <w:rPr>
                <w:rFonts w:hint="default" w:ascii="Times New Roman" w:hAnsi="Times New Roman" w:cs="Times New Roman"/>
                <w:color w:val="auto"/>
                <w:sz w:val="18"/>
                <w:szCs w:val="18"/>
                <w:highlight w:val="none"/>
                <w:lang w:val="en-US" w:eastAsia="zh-CN"/>
              </w:rPr>
              <w:t>31585</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ZK2022TJ0070</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行政办公及生活服务设施用地面积不得超过总用地面积的7%</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49</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1316</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264</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2022年</w:t>
            </w:r>
            <w:r>
              <w:rPr>
                <w:rFonts w:hint="default" w:ascii="Times New Roman" w:hAnsi="Times New Roman" w:cs="Times New Roman"/>
                <w:b w:val="0"/>
                <w:bCs w:val="0"/>
                <w:color w:val="auto"/>
                <w:sz w:val="18"/>
                <w:szCs w:val="18"/>
                <w:highlight w:val="none"/>
                <w:vertAlign w:val="baseline"/>
                <w:lang w:val="en-US" w:eastAsia="zh-CN"/>
              </w:rPr>
              <w:t>12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7</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10588</w:t>
            </w:r>
            <w:r>
              <w:rPr>
                <w:rFonts w:hint="default" w:ascii="Times New Roman" w:hAnsi="Times New Roman" w:eastAsia="宋体" w:cs="Times New Roman"/>
                <w:b w:val="0"/>
                <w:bCs w:val="0"/>
                <w:color w:val="auto"/>
                <w:sz w:val="18"/>
                <w:szCs w:val="18"/>
                <w:highlight w:val="none"/>
                <w:vertAlign w:val="baseline"/>
                <w:lang w:val="en-US" w:eastAsia="zh-CN"/>
              </w:rPr>
              <w:t>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可穿戴设备、智能机器人、智能家居产业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惠仲土（用地）挂[2022]00</w:t>
            </w:r>
            <w:r>
              <w:rPr>
                <w:rFonts w:hint="default" w:ascii="Times New Roman" w:hAnsi="Times New Roman" w:cs="Times New Roman"/>
                <w:b w:val="0"/>
                <w:bCs w:val="0"/>
                <w:color w:val="auto"/>
                <w:sz w:val="18"/>
                <w:szCs w:val="18"/>
                <w:highlight w:val="none"/>
                <w:vertAlign w:val="baseline"/>
                <w:lang w:val="en-US" w:eastAsia="zh-CN"/>
              </w:rPr>
              <w:t>9</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default" w:ascii="Times New Roman" w:hAnsi="Times New Roman" w:cs="Times New Roman"/>
                <w:b w:val="0"/>
                <w:bCs w:val="0"/>
                <w:color w:val="auto"/>
                <w:sz w:val="18"/>
                <w:szCs w:val="18"/>
                <w:highlight w:val="none"/>
                <w:vertAlign w:val="baseline"/>
                <w:lang w:val="en-US" w:eastAsia="zh-CN"/>
              </w:rPr>
              <w:t>潼湖镇</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ZKD-011-16</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19553</w:t>
            </w:r>
            <w:r>
              <w:rPr>
                <w:rFonts w:hint="default" w:ascii="Times New Roman" w:hAnsi="Times New Roman" w:eastAsia="宋体" w:cs="Times New Roman"/>
                <w:color w:val="auto"/>
                <w:sz w:val="18"/>
                <w:szCs w:val="18"/>
                <w:highlight w:val="none"/>
                <w:lang w:val="en-US" w:eastAsia="zh-CN"/>
              </w:rPr>
              <w:t>（其中使用权面积为15922㎡）</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19553</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2.0≤R≤2.5</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39106</w:t>
            </w:r>
            <w:r>
              <w:rPr>
                <w:rFonts w:hint="default" w:ascii="Times New Roman" w:hAnsi="Times New Roman" w:eastAsia="宋体" w:cs="Times New Roman"/>
                <w:color w:val="auto"/>
                <w:sz w:val="18"/>
                <w:szCs w:val="18"/>
                <w:highlight w:val="none"/>
                <w:lang w:val="en-US" w:eastAsia="zh-CN"/>
              </w:rPr>
              <w:t>≤S≤48883</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ZK2022TJ0056</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行政办公及生活服务配套设施用地面积不得超过总用地面积的7%</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50</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2048</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30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410</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2022年</w:t>
            </w:r>
            <w:r>
              <w:rPr>
                <w:rFonts w:hint="default" w:ascii="Times New Roman" w:hAnsi="Times New Roman" w:cs="Times New Roman"/>
                <w:b w:val="0"/>
                <w:bCs w:val="0"/>
                <w:color w:val="auto"/>
                <w:sz w:val="18"/>
                <w:szCs w:val="18"/>
                <w:highlight w:val="none"/>
                <w:vertAlign w:val="baseline"/>
                <w:lang w:val="en-US" w:eastAsia="zh-CN"/>
              </w:rPr>
              <w:t>12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7</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12000</w:t>
            </w:r>
            <w:r>
              <w:rPr>
                <w:rFonts w:hint="default" w:ascii="Times New Roman" w:hAnsi="Times New Roman" w:eastAsia="宋体" w:cs="Times New Roman"/>
                <w:b w:val="0"/>
                <w:bCs w:val="0"/>
                <w:color w:val="auto"/>
                <w:sz w:val="18"/>
                <w:szCs w:val="18"/>
                <w:highlight w:val="none"/>
                <w:vertAlign w:val="baseline"/>
                <w:lang w:val="en-US" w:eastAsia="zh-CN"/>
              </w:rPr>
              <w:t>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包装材料、垫子缓冲材料、OCA光学胶、光学膜、新能源隔膜、新能源膜材产品的设计、生产与销售</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ZTZlMzQ5OTgwNjAwZThiNTBiZTM0M2ZlMDEwZWEifQ=="/>
  </w:docVars>
  <w:rsids>
    <w:rsidRoot w:val="4D662110"/>
    <w:rsid w:val="30515DD5"/>
    <w:rsid w:val="34D14651"/>
    <w:rsid w:val="41C60BD9"/>
    <w:rsid w:val="4D66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customStyle="1" w:styleId="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9</Pages>
  <Words>3568</Words>
  <Characters>4020</Characters>
  <Lines>0</Lines>
  <Paragraphs>0</Paragraphs>
  <TotalTime>13</TotalTime>
  <ScaleCrop>false</ScaleCrop>
  <LinksUpToDate>false</LinksUpToDate>
  <CharactersWithSpaces>4059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欧阳海棠</cp:lastModifiedBy>
  <cp:lastPrinted>2022-11-02T06:59:00Z</cp:lastPrinted>
  <dcterms:modified xsi:type="dcterms:W3CDTF">2022-11-02T08:13:23Z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8F6BADADEE2F4CCB824211887B2CA09E</vt:lpwstr>
  </property>
</Properties>
</file>